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3"/>
      </w:tblGrid>
      <w:tr w:rsidR="00525AEB" w:rsidRPr="00DD7721" w14:paraId="733690D8" w14:textId="77777777" w:rsidTr="15CDEBE0">
        <w:trPr>
          <w:trHeight w:val="130"/>
        </w:trPr>
        <w:tc>
          <w:tcPr>
            <w:tcW w:w="9163" w:type="dxa"/>
          </w:tcPr>
          <w:p w14:paraId="1F6268FF" w14:textId="77777777" w:rsidR="00525AEB" w:rsidRPr="00DD7721" w:rsidRDefault="00525AEB" w:rsidP="00F3637E">
            <w:pPr>
              <w:ind w:left="567" w:right="618"/>
              <w:jc w:val="center"/>
              <w:outlineLvl w:val="0"/>
              <w:rPr>
                <w:rFonts w:ascii="Arial" w:hAnsi="Arial" w:cs="Arial"/>
                <w:b/>
              </w:rPr>
            </w:pPr>
            <w:r w:rsidRPr="00DD7721">
              <w:rPr>
                <w:rFonts w:ascii="Arial" w:hAnsi="Arial" w:cs="Arial"/>
                <w:noProof/>
              </w:rPr>
              <w:drawing>
                <wp:anchor distT="0" distB="0" distL="114300" distR="114300" simplePos="0" relativeHeight="251658240" behindDoc="0" locked="0" layoutInCell="1" allowOverlap="1" wp14:anchorId="613636D6" wp14:editId="5117F5C2">
                  <wp:simplePos x="0" y="0"/>
                  <wp:positionH relativeFrom="column">
                    <wp:posOffset>1961515</wp:posOffset>
                  </wp:positionH>
                  <wp:positionV relativeFrom="paragraph">
                    <wp:posOffset>62865</wp:posOffset>
                  </wp:positionV>
                  <wp:extent cx="1850390" cy="457200"/>
                  <wp:effectExtent l="0" t="0" r="0" b="0"/>
                  <wp:wrapNone/>
                  <wp:docPr id="3"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0390" cy="457200"/>
                          </a:xfrm>
                          <a:prstGeom prst="rect">
                            <a:avLst/>
                          </a:prstGeom>
                          <a:noFill/>
                        </pic:spPr>
                      </pic:pic>
                    </a:graphicData>
                  </a:graphic>
                  <wp14:sizeRelH relativeFrom="page">
                    <wp14:pctWidth>0</wp14:pctWidth>
                  </wp14:sizeRelH>
                  <wp14:sizeRelV relativeFrom="page">
                    <wp14:pctHeight>0</wp14:pctHeight>
                  </wp14:sizeRelV>
                </wp:anchor>
              </w:drawing>
            </w:r>
          </w:p>
          <w:p w14:paraId="1D62C572" w14:textId="77777777" w:rsidR="00525AEB" w:rsidRPr="00DD7721" w:rsidRDefault="00525AEB" w:rsidP="00F3637E">
            <w:pPr>
              <w:ind w:left="567" w:right="618"/>
              <w:jc w:val="center"/>
              <w:outlineLvl w:val="0"/>
              <w:rPr>
                <w:rFonts w:ascii="Arial" w:hAnsi="Arial" w:cs="Arial"/>
                <w:b/>
              </w:rPr>
            </w:pPr>
          </w:p>
          <w:p w14:paraId="713D72D7" w14:textId="77777777" w:rsidR="00525AEB" w:rsidRPr="00DD7721" w:rsidRDefault="00525AEB" w:rsidP="00F3637E">
            <w:pPr>
              <w:ind w:left="567" w:right="618"/>
              <w:jc w:val="center"/>
              <w:outlineLvl w:val="0"/>
              <w:rPr>
                <w:rFonts w:ascii="Arial" w:hAnsi="Arial" w:cs="Arial"/>
                <w:b/>
              </w:rPr>
            </w:pPr>
          </w:p>
          <w:p w14:paraId="5D6B866F" w14:textId="77777777" w:rsidR="00525AEB" w:rsidRDefault="00525AEB" w:rsidP="00F3637E">
            <w:pPr>
              <w:ind w:left="567" w:right="618"/>
              <w:jc w:val="center"/>
              <w:outlineLvl w:val="0"/>
              <w:rPr>
                <w:rFonts w:ascii="Arial" w:hAnsi="Arial" w:cs="Arial"/>
                <w:b/>
              </w:rPr>
            </w:pPr>
          </w:p>
          <w:p w14:paraId="5203959D" w14:textId="77777777" w:rsidR="00D6600D" w:rsidRPr="00D6600D" w:rsidRDefault="00D6600D" w:rsidP="00D6600D">
            <w:pPr>
              <w:ind w:left="567" w:right="618"/>
              <w:jc w:val="center"/>
              <w:outlineLvl w:val="0"/>
              <w:rPr>
                <w:rFonts w:ascii="Arial" w:hAnsi="Arial" w:cs="Arial"/>
                <w:b/>
                <w:lang w:val="en-GB"/>
              </w:rPr>
            </w:pPr>
            <w:r w:rsidRPr="00D6600D">
              <w:rPr>
                <w:rFonts w:ascii="Arial" w:hAnsi="Arial" w:cs="Arial"/>
                <w:b/>
                <w:bCs/>
                <w:lang w:val="en-GB"/>
              </w:rPr>
              <w:t>GRUPO ENERGÍA BOGOTÁ S.A. E.S.P.</w:t>
            </w:r>
            <w:r w:rsidRPr="00D6600D">
              <w:rPr>
                <w:rFonts w:ascii="Arial" w:hAnsi="Arial" w:cs="Arial"/>
                <w:b/>
                <w:bCs/>
                <w:lang w:val="en-GB"/>
              </w:rPr>
              <w:br/>
              <w:t>NOTICE</w:t>
            </w:r>
            <w:r w:rsidRPr="00D6600D">
              <w:rPr>
                <w:rFonts w:ascii="Arial" w:hAnsi="Arial" w:cs="Arial"/>
                <w:b/>
                <w:bCs/>
                <w:lang w:val="en-GB"/>
              </w:rPr>
              <w:br/>
              <w:t>EXTRAORDINARY GENERAL SHAREHOLDERS’ MEETING</w:t>
            </w:r>
          </w:p>
          <w:p w14:paraId="6F81A223" w14:textId="77777777" w:rsidR="00D6600D" w:rsidRDefault="00D6600D" w:rsidP="00D6600D">
            <w:pPr>
              <w:ind w:left="567" w:right="618"/>
              <w:jc w:val="both"/>
              <w:outlineLvl w:val="0"/>
              <w:rPr>
                <w:rFonts w:ascii="Arial" w:hAnsi="Arial" w:cs="Arial"/>
                <w:bCs/>
                <w:lang w:val="en-GB"/>
              </w:rPr>
            </w:pPr>
          </w:p>
          <w:p w14:paraId="6E8F9714" w14:textId="341A497A" w:rsidR="00D6600D" w:rsidRDefault="00D6600D" w:rsidP="00D6600D">
            <w:pPr>
              <w:ind w:left="567" w:right="618"/>
              <w:jc w:val="both"/>
              <w:outlineLvl w:val="0"/>
              <w:rPr>
                <w:rFonts w:ascii="Arial" w:hAnsi="Arial" w:cs="Arial"/>
                <w:bCs/>
                <w:lang w:val="en-GB"/>
              </w:rPr>
            </w:pPr>
            <w:r w:rsidRPr="00D6600D">
              <w:rPr>
                <w:rFonts w:ascii="Arial" w:hAnsi="Arial" w:cs="Arial"/>
                <w:bCs/>
                <w:lang w:val="en-GB"/>
              </w:rPr>
              <w:t xml:space="preserve">The Chairman of the Board of Directors and the President of Grupo Energía Bogotá S.A. E.S.P. (“GEB” or the “Company”), in accordance with Articles 45 and 46 of the Company’s Bylaws, hereby call the shareholders to an extraordinary meeting of the General Shareholders’ Meeting, to be held on November 19, 2024, at 9:30 a.m., in a virtual format, in accordance with Article 19 of Law 222 of 1995 and Decree 398 of 2020, through the virtual platform of the Centralized Securities Depository of Colombia - </w:t>
            </w:r>
            <w:proofErr w:type="spellStart"/>
            <w:r w:rsidRPr="00D6600D">
              <w:rPr>
                <w:rFonts w:ascii="Arial" w:hAnsi="Arial" w:cs="Arial"/>
                <w:bCs/>
                <w:lang w:val="en-GB"/>
              </w:rPr>
              <w:t>Deceval</w:t>
            </w:r>
            <w:proofErr w:type="spellEnd"/>
            <w:r w:rsidRPr="00D6600D">
              <w:rPr>
                <w:rFonts w:ascii="Arial" w:hAnsi="Arial" w:cs="Arial"/>
                <w:bCs/>
                <w:lang w:val="en-GB"/>
              </w:rPr>
              <w:t xml:space="preserve"> S.A. Access to the platform will be granted to shareholders or their proxies once share ownership has been verified as provided in this notice.</w:t>
            </w:r>
          </w:p>
          <w:p w14:paraId="43335A77" w14:textId="77777777" w:rsidR="00D6600D" w:rsidRPr="00D6600D" w:rsidRDefault="00D6600D" w:rsidP="00D6600D">
            <w:pPr>
              <w:ind w:left="567" w:right="618"/>
              <w:jc w:val="both"/>
              <w:outlineLvl w:val="0"/>
              <w:rPr>
                <w:rFonts w:ascii="Arial" w:hAnsi="Arial" w:cs="Arial"/>
                <w:bCs/>
                <w:lang w:val="en-GB"/>
              </w:rPr>
            </w:pPr>
          </w:p>
          <w:p w14:paraId="15A3BB73" w14:textId="77777777" w:rsidR="00D6600D" w:rsidRDefault="00D6600D" w:rsidP="00D6600D">
            <w:pPr>
              <w:ind w:left="567" w:right="618"/>
              <w:jc w:val="both"/>
              <w:outlineLvl w:val="0"/>
              <w:rPr>
                <w:rFonts w:ascii="Arial" w:hAnsi="Arial" w:cs="Arial"/>
                <w:bCs/>
                <w:lang w:val="en-GB"/>
              </w:rPr>
            </w:pPr>
            <w:r w:rsidRPr="00D6600D">
              <w:rPr>
                <w:rFonts w:ascii="Arial" w:hAnsi="Arial" w:cs="Arial"/>
                <w:bCs/>
                <w:lang w:val="en-GB"/>
              </w:rPr>
              <w:t>The proposed agenda is as follows:</w:t>
            </w:r>
          </w:p>
          <w:p w14:paraId="573D5256" w14:textId="77777777" w:rsidR="00D6600D" w:rsidRPr="00D6600D" w:rsidRDefault="00D6600D" w:rsidP="00D6600D">
            <w:pPr>
              <w:ind w:left="567" w:right="618"/>
              <w:jc w:val="both"/>
              <w:outlineLvl w:val="0"/>
              <w:rPr>
                <w:rFonts w:ascii="Arial" w:hAnsi="Arial" w:cs="Arial"/>
                <w:bCs/>
                <w:lang w:val="en-GB"/>
              </w:rPr>
            </w:pPr>
          </w:p>
          <w:p w14:paraId="455AF4E2" w14:textId="77777777" w:rsidR="00D6600D" w:rsidRPr="00D6600D" w:rsidRDefault="00D6600D" w:rsidP="00D6600D">
            <w:pPr>
              <w:numPr>
                <w:ilvl w:val="0"/>
                <w:numId w:val="8"/>
              </w:numPr>
              <w:ind w:right="618"/>
              <w:jc w:val="both"/>
              <w:outlineLvl w:val="0"/>
              <w:rPr>
                <w:rFonts w:ascii="Arial" w:hAnsi="Arial" w:cs="Arial"/>
                <w:bCs/>
                <w:lang w:val="es-CO"/>
              </w:rPr>
            </w:pPr>
            <w:proofErr w:type="spellStart"/>
            <w:r w:rsidRPr="00D6600D">
              <w:rPr>
                <w:rFonts w:ascii="Arial" w:hAnsi="Arial" w:cs="Arial"/>
                <w:bCs/>
                <w:lang w:val="es-CO"/>
              </w:rPr>
              <w:t>Verification</w:t>
            </w:r>
            <w:proofErr w:type="spellEnd"/>
            <w:r w:rsidRPr="00D6600D">
              <w:rPr>
                <w:rFonts w:ascii="Arial" w:hAnsi="Arial" w:cs="Arial"/>
                <w:bCs/>
                <w:lang w:val="es-CO"/>
              </w:rPr>
              <w:t xml:space="preserve"> </w:t>
            </w:r>
            <w:proofErr w:type="spellStart"/>
            <w:r w:rsidRPr="00D6600D">
              <w:rPr>
                <w:rFonts w:ascii="Arial" w:hAnsi="Arial" w:cs="Arial"/>
                <w:bCs/>
                <w:lang w:val="es-CO"/>
              </w:rPr>
              <w:t>of</w:t>
            </w:r>
            <w:proofErr w:type="spellEnd"/>
            <w:r w:rsidRPr="00D6600D">
              <w:rPr>
                <w:rFonts w:ascii="Arial" w:hAnsi="Arial" w:cs="Arial"/>
                <w:bCs/>
                <w:lang w:val="es-CO"/>
              </w:rPr>
              <w:t xml:space="preserve"> quorum</w:t>
            </w:r>
          </w:p>
          <w:p w14:paraId="4D714E3A" w14:textId="77777777" w:rsidR="00D6600D" w:rsidRPr="00D6600D" w:rsidRDefault="00D6600D" w:rsidP="00D6600D">
            <w:pPr>
              <w:numPr>
                <w:ilvl w:val="0"/>
                <w:numId w:val="8"/>
              </w:numPr>
              <w:ind w:right="618"/>
              <w:jc w:val="both"/>
              <w:outlineLvl w:val="0"/>
              <w:rPr>
                <w:rFonts w:ascii="Arial" w:hAnsi="Arial" w:cs="Arial"/>
                <w:bCs/>
                <w:lang w:val="en-GB"/>
              </w:rPr>
            </w:pPr>
            <w:r w:rsidRPr="00D6600D">
              <w:rPr>
                <w:rFonts w:ascii="Arial" w:hAnsi="Arial" w:cs="Arial"/>
                <w:bCs/>
                <w:lang w:val="en-GB"/>
              </w:rPr>
              <w:t>Reading and approval of the agenda</w:t>
            </w:r>
          </w:p>
          <w:p w14:paraId="0ED2F5E5" w14:textId="77777777" w:rsidR="00D6600D" w:rsidRPr="00D6600D" w:rsidRDefault="00D6600D" w:rsidP="00D6600D">
            <w:pPr>
              <w:numPr>
                <w:ilvl w:val="0"/>
                <w:numId w:val="8"/>
              </w:numPr>
              <w:ind w:right="618"/>
              <w:jc w:val="both"/>
              <w:outlineLvl w:val="0"/>
              <w:rPr>
                <w:rFonts w:ascii="Arial" w:hAnsi="Arial" w:cs="Arial"/>
                <w:bCs/>
                <w:lang w:val="en-GB"/>
              </w:rPr>
            </w:pPr>
            <w:r w:rsidRPr="00D6600D">
              <w:rPr>
                <w:rFonts w:ascii="Arial" w:hAnsi="Arial" w:cs="Arial"/>
                <w:bCs/>
                <w:lang w:val="en-GB"/>
              </w:rPr>
              <w:t>Election of the Chairman of the Meeting</w:t>
            </w:r>
          </w:p>
          <w:p w14:paraId="4E2FF81B" w14:textId="77777777" w:rsidR="00D6600D" w:rsidRPr="00D6600D" w:rsidRDefault="00D6600D" w:rsidP="00D6600D">
            <w:pPr>
              <w:numPr>
                <w:ilvl w:val="0"/>
                <w:numId w:val="8"/>
              </w:numPr>
              <w:ind w:right="618"/>
              <w:jc w:val="both"/>
              <w:outlineLvl w:val="0"/>
              <w:rPr>
                <w:rFonts w:ascii="Arial" w:hAnsi="Arial" w:cs="Arial"/>
                <w:bCs/>
                <w:lang w:val="en-GB"/>
              </w:rPr>
            </w:pPr>
            <w:r w:rsidRPr="00D6600D">
              <w:rPr>
                <w:rFonts w:ascii="Arial" w:hAnsi="Arial" w:cs="Arial"/>
                <w:bCs/>
                <w:lang w:val="en-GB"/>
              </w:rPr>
              <w:t>Election of the Minutes Approval Committee</w:t>
            </w:r>
          </w:p>
          <w:p w14:paraId="214DFA34" w14:textId="77777777" w:rsidR="00D6600D" w:rsidRPr="00D6600D" w:rsidRDefault="00D6600D" w:rsidP="00D6600D">
            <w:pPr>
              <w:numPr>
                <w:ilvl w:val="0"/>
                <w:numId w:val="8"/>
              </w:numPr>
              <w:ind w:right="618"/>
              <w:jc w:val="both"/>
              <w:outlineLvl w:val="0"/>
              <w:rPr>
                <w:rFonts w:ascii="Arial" w:hAnsi="Arial" w:cs="Arial"/>
                <w:bCs/>
                <w:lang w:val="en-GB"/>
              </w:rPr>
            </w:pPr>
            <w:r w:rsidRPr="00D6600D">
              <w:rPr>
                <w:rFonts w:ascii="Arial" w:hAnsi="Arial" w:cs="Arial"/>
                <w:bCs/>
                <w:lang w:val="en-GB"/>
              </w:rPr>
              <w:t>Authorization of GEB’s guarantee for refinancing of subsidiaries in Guatemala</w:t>
            </w:r>
          </w:p>
          <w:p w14:paraId="2ED81F19" w14:textId="77777777" w:rsidR="00D6600D" w:rsidRDefault="00D6600D" w:rsidP="00D6600D">
            <w:pPr>
              <w:ind w:left="567" w:right="618"/>
              <w:jc w:val="both"/>
              <w:outlineLvl w:val="0"/>
              <w:rPr>
                <w:rFonts w:ascii="Arial" w:hAnsi="Arial" w:cs="Arial"/>
                <w:bCs/>
                <w:lang w:val="en-GB"/>
              </w:rPr>
            </w:pPr>
          </w:p>
          <w:p w14:paraId="478460ED" w14:textId="3B00F587" w:rsidR="00D6600D" w:rsidRDefault="00D6600D" w:rsidP="00D6600D">
            <w:pPr>
              <w:ind w:left="567" w:right="618"/>
              <w:jc w:val="both"/>
              <w:outlineLvl w:val="0"/>
              <w:rPr>
                <w:rFonts w:ascii="Arial" w:hAnsi="Arial" w:cs="Arial"/>
                <w:bCs/>
                <w:lang w:val="en-GB"/>
              </w:rPr>
            </w:pPr>
            <w:r w:rsidRPr="00D6600D">
              <w:rPr>
                <w:rFonts w:ascii="Arial" w:hAnsi="Arial" w:cs="Arial"/>
                <w:bCs/>
                <w:lang w:val="en-GB"/>
              </w:rPr>
              <w:t>Instructions to access the virtual meeting:</w:t>
            </w:r>
          </w:p>
          <w:p w14:paraId="3BCD3845" w14:textId="77777777" w:rsidR="00D6600D" w:rsidRPr="00D6600D" w:rsidRDefault="00D6600D" w:rsidP="00D6600D">
            <w:pPr>
              <w:ind w:left="567" w:right="618"/>
              <w:jc w:val="both"/>
              <w:outlineLvl w:val="0"/>
              <w:rPr>
                <w:rFonts w:ascii="Arial" w:hAnsi="Arial" w:cs="Arial"/>
                <w:bCs/>
                <w:lang w:val="en-GB"/>
              </w:rPr>
            </w:pPr>
          </w:p>
          <w:p w14:paraId="3C873B3D" w14:textId="77777777" w:rsidR="00D6600D" w:rsidRPr="00D6600D" w:rsidRDefault="00D6600D" w:rsidP="00D6600D">
            <w:pPr>
              <w:numPr>
                <w:ilvl w:val="0"/>
                <w:numId w:val="9"/>
              </w:numPr>
              <w:ind w:right="618"/>
              <w:jc w:val="both"/>
              <w:outlineLvl w:val="0"/>
              <w:rPr>
                <w:rFonts w:ascii="Arial" w:hAnsi="Arial" w:cs="Arial"/>
                <w:bCs/>
                <w:lang w:val="en-GB"/>
              </w:rPr>
            </w:pPr>
            <w:r w:rsidRPr="00D6600D">
              <w:rPr>
                <w:rFonts w:ascii="Arial" w:hAnsi="Arial" w:cs="Arial"/>
                <w:bCs/>
                <w:lang w:val="en-GB"/>
              </w:rPr>
              <w:t>To verify the identity of participants in accordance with Decree 398 of 2020, shareholders or proxies must send documents verifying their status to the email address secretaria.asamblea@geb.com.co no later than Friday, November 15, 2024, by 5:00 p.m.:</w:t>
            </w:r>
          </w:p>
          <w:p w14:paraId="2AF87684" w14:textId="77777777" w:rsidR="00D6600D" w:rsidRPr="00D6600D" w:rsidRDefault="00D6600D" w:rsidP="00D6600D">
            <w:pPr>
              <w:numPr>
                <w:ilvl w:val="1"/>
                <w:numId w:val="9"/>
              </w:numPr>
              <w:ind w:right="618"/>
              <w:jc w:val="both"/>
              <w:outlineLvl w:val="0"/>
              <w:rPr>
                <w:rFonts w:ascii="Arial" w:hAnsi="Arial" w:cs="Arial"/>
                <w:bCs/>
                <w:lang w:val="en-GB"/>
              </w:rPr>
            </w:pPr>
            <w:r w:rsidRPr="00D6600D">
              <w:rPr>
                <w:rFonts w:ascii="Arial" w:hAnsi="Arial" w:cs="Arial"/>
                <w:bCs/>
                <w:lang w:val="en-GB"/>
              </w:rPr>
              <w:t>Individuals: copy of both sides of the identification document.</w:t>
            </w:r>
          </w:p>
          <w:p w14:paraId="18E77A40" w14:textId="77777777" w:rsidR="00D6600D" w:rsidRDefault="00D6600D" w:rsidP="00D6600D">
            <w:pPr>
              <w:numPr>
                <w:ilvl w:val="1"/>
                <w:numId w:val="9"/>
              </w:numPr>
              <w:ind w:right="618"/>
              <w:jc w:val="both"/>
              <w:outlineLvl w:val="0"/>
              <w:rPr>
                <w:rFonts w:ascii="Arial" w:hAnsi="Arial" w:cs="Arial"/>
                <w:bCs/>
                <w:lang w:val="en-GB"/>
              </w:rPr>
            </w:pPr>
            <w:r w:rsidRPr="00D6600D">
              <w:rPr>
                <w:rFonts w:ascii="Arial" w:hAnsi="Arial" w:cs="Arial"/>
                <w:bCs/>
                <w:lang w:val="en-GB"/>
              </w:rPr>
              <w:t>Legal entities: Certificate of Existence and Legal Representation from the Chamber of Commerce or the Financial Superintendence of Colombia (as applicable), no older than 90 days, along with a copy of both sides of the legal representative's identification document.</w:t>
            </w:r>
          </w:p>
          <w:p w14:paraId="22A518E9" w14:textId="77777777" w:rsidR="00D6600D" w:rsidRPr="00D6600D" w:rsidRDefault="00D6600D" w:rsidP="00D6600D">
            <w:pPr>
              <w:ind w:left="1440" w:right="618"/>
              <w:jc w:val="both"/>
              <w:outlineLvl w:val="0"/>
              <w:rPr>
                <w:rFonts w:ascii="Arial" w:hAnsi="Arial" w:cs="Arial"/>
                <w:bCs/>
                <w:lang w:val="en-GB"/>
              </w:rPr>
            </w:pPr>
          </w:p>
          <w:p w14:paraId="0349A9FE" w14:textId="77777777" w:rsidR="00D6600D" w:rsidRDefault="00D6600D" w:rsidP="00D6600D">
            <w:pPr>
              <w:numPr>
                <w:ilvl w:val="0"/>
                <w:numId w:val="9"/>
              </w:numPr>
              <w:ind w:right="618"/>
              <w:jc w:val="both"/>
              <w:outlineLvl w:val="0"/>
              <w:rPr>
                <w:rFonts w:ascii="Arial" w:hAnsi="Arial" w:cs="Arial"/>
                <w:bCs/>
                <w:lang w:val="en-GB"/>
              </w:rPr>
            </w:pPr>
            <w:r w:rsidRPr="00D6600D">
              <w:rPr>
                <w:rFonts w:ascii="Arial" w:hAnsi="Arial" w:cs="Arial"/>
                <w:bCs/>
                <w:lang w:val="en-GB"/>
              </w:rPr>
              <w:t xml:space="preserve">For proxies, the above documentation must include a properly completed and signed power of attorney in accordance with Article 184 of the Commercial Code, as well as a copy of both sides of the proxy’s identification document. Shareholders may use the templates available at </w:t>
            </w:r>
            <w:hyperlink r:id="rId13" w:tgtFrame="_new" w:history="1">
              <w:r w:rsidRPr="00D6600D">
                <w:rPr>
                  <w:rStyle w:val="Hipervnculo"/>
                  <w:rFonts w:ascii="Arial" w:hAnsi="Arial" w:cs="Arial"/>
                  <w:bCs/>
                  <w:lang w:val="en-GB"/>
                </w:rPr>
                <w:t>www.grupoenergiabogota.com.co</w:t>
              </w:r>
            </w:hyperlink>
            <w:r w:rsidRPr="00D6600D">
              <w:rPr>
                <w:rFonts w:ascii="Arial" w:hAnsi="Arial" w:cs="Arial"/>
                <w:bCs/>
                <w:lang w:val="en-GB"/>
              </w:rPr>
              <w:t>. For general powers of attorney, a copy of the corresponding public deed along with proof of the power's validity must be submitted. Note that, as stipulated by Article 185 of the Commercial Code, except for cases of legal representation, administrators and employees of the Company may not represent shares other than their own.</w:t>
            </w:r>
          </w:p>
          <w:p w14:paraId="0FC1600B" w14:textId="77777777" w:rsidR="00D6600D" w:rsidRPr="00D6600D" w:rsidRDefault="00D6600D" w:rsidP="00D6600D">
            <w:pPr>
              <w:ind w:left="720" w:right="618"/>
              <w:jc w:val="both"/>
              <w:outlineLvl w:val="0"/>
              <w:rPr>
                <w:rFonts w:ascii="Arial" w:hAnsi="Arial" w:cs="Arial"/>
                <w:bCs/>
                <w:lang w:val="en-GB"/>
              </w:rPr>
            </w:pPr>
          </w:p>
          <w:p w14:paraId="3C0B265A" w14:textId="77777777" w:rsidR="00D6600D" w:rsidRPr="00D6600D" w:rsidRDefault="00D6600D" w:rsidP="00D6600D">
            <w:pPr>
              <w:numPr>
                <w:ilvl w:val="0"/>
                <w:numId w:val="9"/>
              </w:numPr>
              <w:ind w:right="618"/>
              <w:jc w:val="both"/>
              <w:outlineLvl w:val="0"/>
              <w:rPr>
                <w:rFonts w:ascii="Arial" w:hAnsi="Arial" w:cs="Arial"/>
                <w:bCs/>
                <w:lang w:val="en-GB"/>
              </w:rPr>
            </w:pPr>
            <w:r w:rsidRPr="00D6600D">
              <w:rPr>
                <w:rFonts w:ascii="Arial" w:hAnsi="Arial" w:cs="Arial"/>
                <w:bCs/>
                <w:lang w:val="en-GB"/>
              </w:rPr>
              <w:t>By Monday, November 18, 2024, a connection link for the meeting and login credentials will be sent to the email address of the shareholder or proxy from which the documentation was submitted. Please note that meeting connection details are exclusively for the use of shareholders and their proxies and will only be sent to those who have duly accredited their status.</w:t>
            </w:r>
          </w:p>
          <w:p w14:paraId="12CB2391" w14:textId="77777777" w:rsidR="00D6600D" w:rsidRDefault="00D6600D" w:rsidP="00D6600D">
            <w:pPr>
              <w:numPr>
                <w:ilvl w:val="0"/>
                <w:numId w:val="9"/>
              </w:numPr>
              <w:ind w:right="618"/>
              <w:jc w:val="both"/>
              <w:outlineLvl w:val="0"/>
              <w:rPr>
                <w:rFonts w:ascii="Arial" w:hAnsi="Arial" w:cs="Arial"/>
                <w:bCs/>
                <w:lang w:val="en-GB"/>
              </w:rPr>
            </w:pPr>
            <w:r w:rsidRPr="00D6600D">
              <w:rPr>
                <w:rFonts w:ascii="Arial" w:hAnsi="Arial" w:cs="Arial"/>
                <w:bCs/>
                <w:lang w:val="en-GB"/>
              </w:rPr>
              <w:t>On the day of the meeting, shareholders and proxies are advised to log into the platform starting at 8:30 a.m. to check their connection and access to the virtual platform.</w:t>
            </w:r>
          </w:p>
          <w:p w14:paraId="538D4523" w14:textId="77777777" w:rsidR="00D6600D" w:rsidRPr="00D6600D" w:rsidRDefault="00D6600D" w:rsidP="00D6600D">
            <w:pPr>
              <w:ind w:left="720" w:right="618"/>
              <w:jc w:val="both"/>
              <w:outlineLvl w:val="0"/>
              <w:rPr>
                <w:rFonts w:ascii="Arial" w:hAnsi="Arial" w:cs="Arial"/>
                <w:bCs/>
                <w:lang w:val="en-GB"/>
              </w:rPr>
            </w:pPr>
          </w:p>
          <w:p w14:paraId="16202621" w14:textId="77777777" w:rsidR="00D6600D" w:rsidRDefault="00D6600D" w:rsidP="00D6600D">
            <w:pPr>
              <w:numPr>
                <w:ilvl w:val="0"/>
                <w:numId w:val="9"/>
              </w:numPr>
              <w:ind w:right="618"/>
              <w:jc w:val="both"/>
              <w:outlineLvl w:val="0"/>
              <w:rPr>
                <w:rFonts w:ascii="Arial" w:hAnsi="Arial" w:cs="Arial"/>
                <w:bCs/>
                <w:lang w:val="en-GB"/>
              </w:rPr>
            </w:pPr>
            <w:r w:rsidRPr="00D6600D">
              <w:rPr>
                <w:rFonts w:ascii="Arial" w:hAnsi="Arial" w:cs="Arial"/>
                <w:bCs/>
                <w:lang w:val="en-GB"/>
              </w:rPr>
              <w:t xml:space="preserve">For further information regarding the meeting, please refer to the Shareholders’ Guide published at </w:t>
            </w:r>
            <w:hyperlink r:id="rId14" w:tgtFrame="_new" w:history="1">
              <w:r w:rsidRPr="00D6600D">
                <w:rPr>
                  <w:rStyle w:val="Hipervnculo"/>
                  <w:rFonts w:ascii="Arial" w:hAnsi="Arial" w:cs="Arial"/>
                  <w:bCs/>
                  <w:lang w:val="en-GB"/>
                </w:rPr>
                <w:t>www.grupoenergiabogota.com.co</w:t>
              </w:r>
            </w:hyperlink>
            <w:r w:rsidRPr="00D6600D">
              <w:rPr>
                <w:rFonts w:ascii="Arial" w:hAnsi="Arial" w:cs="Arial"/>
                <w:bCs/>
                <w:lang w:val="en-GB"/>
              </w:rPr>
              <w:t>.</w:t>
            </w:r>
          </w:p>
          <w:p w14:paraId="41BCAE96" w14:textId="77777777" w:rsidR="00D6600D" w:rsidRDefault="00D6600D" w:rsidP="00D6600D">
            <w:pPr>
              <w:pStyle w:val="Prrafodelista"/>
              <w:rPr>
                <w:rFonts w:ascii="Arial" w:hAnsi="Arial" w:cs="Arial"/>
                <w:bCs/>
                <w:lang w:val="en-GB"/>
              </w:rPr>
            </w:pPr>
          </w:p>
          <w:p w14:paraId="2745F45F" w14:textId="77777777" w:rsidR="00D6600D" w:rsidRPr="00D6600D" w:rsidRDefault="00D6600D" w:rsidP="00D6600D">
            <w:pPr>
              <w:ind w:left="720" w:right="618"/>
              <w:jc w:val="both"/>
              <w:outlineLvl w:val="0"/>
              <w:rPr>
                <w:rFonts w:ascii="Arial" w:hAnsi="Arial" w:cs="Arial"/>
                <w:bCs/>
                <w:lang w:val="en-GB"/>
              </w:rPr>
            </w:pPr>
          </w:p>
          <w:p w14:paraId="6A637928" w14:textId="77777777" w:rsidR="00D6600D" w:rsidRPr="00D6600D" w:rsidRDefault="00D6600D" w:rsidP="00D6600D">
            <w:pPr>
              <w:ind w:left="567" w:right="618"/>
              <w:jc w:val="both"/>
              <w:outlineLvl w:val="0"/>
              <w:rPr>
                <w:rFonts w:ascii="Arial" w:hAnsi="Arial" w:cs="Arial"/>
                <w:bCs/>
                <w:lang w:val="en-GB"/>
              </w:rPr>
            </w:pPr>
            <w:r w:rsidRPr="00D6600D">
              <w:rPr>
                <w:rFonts w:ascii="Arial" w:hAnsi="Arial" w:cs="Arial"/>
                <w:bCs/>
                <w:lang w:val="en-GB"/>
              </w:rPr>
              <w:t xml:space="preserve">Shareholders who are unable to attend may appoint a proxy in accordance with Articles 184 (as amended by Law 222 of 1995, Article 18) and 185 of the Commercial Code. The website </w:t>
            </w:r>
            <w:hyperlink r:id="rId15" w:tgtFrame="_new" w:history="1">
              <w:r w:rsidRPr="00D6600D">
                <w:rPr>
                  <w:rStyle w:val="Hipervnculo"/>
                  <w:rFonts w:ascii="Arial" w:hAnsi="Arial" w:cs="Arial"/>
                  <w:bCs/>
                  <w:lang w:val="en-GB"/>
                </w:rPr>
                <w:t>www.grupoenergiabogota.com.co</w:t>
              </w:r>
            </w:hyperlink>
            <w:r w:rsidRPr="00D6600D">
              <w:rPr>
                <w:rFonts w:ascii="Arial" w:hAnsi="Arial" w:cs="Arial"/>
                <w:bCs/>
                <w:lang w:val="en-GB"/>
              </w:rPr>
              <w:t xml:space="preserve"> provides requirements for proxies, unauthorized practices, and various power of attorney templates.</w:t>
            </w:r>
          </w:p>
          <w:p w14:paraId="01A25871" w14:textId="77777777" w:rsidR="00D6600D" w:rsidRDefault="00D6600D" w:rsidP="00D6600D">
            <w:pPr>
              <w:ind w:left="567" w:right="618"/>
              <w:jc w:val="both"/>
              <w:outlineLvl w:val="0"/>
              <w:rPr>
                <w:rFonts w:ascii="Arial" w:hAnsi="Arial" w:cs="Arial"/>
                <w:bCs/>
                <w:lang w:val="en-GB"/>
              </w:rPr>
            </w:pPr>
          </w:p>
          <w:p w14:paraId="052BE414" w14:textId="6DA22CEC" w:rsidR="00D6600D" w:rsidRPr="00D6600D" w:rsidRDefault="00D6600D" w:rsidP="00D6600D">
            <w:pPr>
              <w:ind w:left="567" w:right="618"/>
              <w:jc w:val="both"/>
              <w:outlineLvl w:val="0"/>
              <w:rPr>
                <w:rFonts w:ascii="Arial" w:hAnsi="Arial" w:cs="Arial"/>
                <w:bCs/>
                <w:lang w:val="en-GB"/>
              </w:rPr>
            </w:pPr>
            <w:r w:rsidRPr="00D6600D">
              <w:rPr>
                <w:rFonts w:ascii="Arial" w:hAnsi="Arial" w:cs="Arial"/>
                <w:bCs/>
                <w:lang w:val="en-GB"/>
              </w:rPr>
              <w:t xml:space="preserve">The meeting will be broadcast live on the website </w:t>
            </w:r>
            <w:hyperlink r:id="rId16" w:tgtFrame="_new" w:history="1">
              <w:r w:rsidRPr="00D6600D">
                <w:rPr>
                  <w:rStyle w:val="Hipervnculo"/>
                  <w:rFonts w:ascii="Arial" w:hAnsi="Arial" w:cs="Arial"/>
                  <w:bCs/>
                  <w:lang w:val="en-GB"/>
                </w:rPr>
                <w:t>www.grupoenergiabogota.com.co</w:t>
              </w:r>
            </w:hyperlink>
            <w:r w:rsidRPr="00D6600D">
              <w:rPr>
                <w:rFonts w:ascii="Arial" w:hAnsi="Arial" w:cs="Arial"/>
                <w:bCs/>
                <w:lang w:val="en-GB"/>
              </w:rPr>
              <w:t>.</w:t>
            </w:r>
          </w:p>
          <w:p w14:paraId="12F210C6" w14:textId="77777777" w:rsidR="00D6600D" w:rsidRPr="00D6600D" w:rsidRDefault="00D6600D" w:rsidP="00F3637E">
            <w:pPr>
              <w:ind w:left="567" w:right="618"/>
              <w:jc w:val="center"/>
              <w:outlineLvl w:val="0"/>
              <w:rPr>
                <w:rFonts w:ascii="Arial" w:hAnsi="Arial" w:cs="Arial"/>
                <w:b/>
                <w:lang w:val="en-GB"/>
              </w:rPr>
            </w:pPr>
          </w:p>
          <w:p w14:paraId="4299881B" w14:textId="7E8294AB" w:rsidR="00525AEB" w:rsidRPr="00DD7721" w:rsidRDefault="00525AEB" w:rsidP="00D6600D">
            <w:pPr>
              <w:pStyle w:val="Textoindependiente"/>
              <w:spacing w:after="0"/>
              <w:ind w:right="516"/>
              <w:jc w:val="both"/>
              <w:rPr>
                <w:rStyle w:val="Hipervnculo"/>
                <w:rFonts w:ascii="Arial" w:hAnsi="Arial" w:cs="Arial"/>
              </w:rPr>
            </w:pPr>
          </w:p>
          <w:tbl>
            <w:tblPr>
              <w:tblW w:w="0" w:type="auto"/>
              <w:jc w:val="center"/>
              <w:tblLook w:val="04A0" w:firstRow="1" w:lastRow="0" w:firstColumn="1" w:lastColumn="0" w:noHBand="0" w:noVBand="1"/>
            </w:tblPr>
            <w:tblGrid>
              <w:gridCol w:w="4220"/>
              <w:gridCol w:w="4236"/>
            </w:tblGrid>
            <w:tr w:rsidR="00525AEB" w:rsidRPr="00DD7721" w14:paraId="0F11AB82" w14:textId="77777777" w:rsidTr="00F3637E">
              <w:trPr>
                <w:jc w:val="center"/>
              </w:trPr>
              <w:tc>
                <w:tcPr>
                  <w:tcW w:w="4220" w:type="dxa"/>
                  <w:vAlign w:val="center"/>
                </w:tcPr>
                <w:p w14:paraId="2CCBC252" w14:textId="77777777" w:rsidR="00905465" w:rsidRPr="00D6600D" w:rsidRDefault="00905465" w:rsidP="00D37F7C">
                  <w:pPr>
                    <w:rPr>
                      <w:rFonts w:ascii="Arial" w:hAnsi="Arial" w:cs="Arial"/>
                      <w:b/>
                      <w:lang w:val="es-CO"/>
                    </w:rPr>
                  </w:pPr>
                </w:p>
                <w:p w14:paraId="59B133AA" w14:textId="77777777" w:rsidR="00D37F7C" w:rsidRPr="00D6600D" w:rsidRDefault="00D37F7C" w:rsidP="00D37F7C">
                  <w:pPr>
                    <w:rPr>
                      <w:rFonts w:ascii="Arial" w:hAnsi="Arial" w:cs="Arial"/>
                      <w:b/>
                      <w:lang w:val="es-CO"/>
                    </w:rPr>
                  </w:pPr>
                </w:p>
                <w:p w14:paraId="51AE1CAB" w14:textId="77777777" w:rsidR="00D37F7C" w:rsidRPr="00D6600D" w:rsidRDefault="00D37F7C" w:rsidP="00E83FE5">
                  <w:pPr>
                    <w:rPr>
                      <w:rFonts w:ascii="Arial" w:hAnsi="Arial" w:cs="Arial"/>
                      <w:b/>
                      <w:lang w:val="es-CO"/>
                    </w:rPr>
                  </w:pPr>
                </w:p>
                <w:p w14:paraId="3FB39F70" w14:textId="4CB3E7AD" w:rsidR="00525AEB" w:rsidRPr="00DD7721" w:rsidRDefault="00525AEB" w:rsidP="00F3637E">
                  <w:pPr>
                    <w:jc w:val="center"/>
                    <w:rPr>
                      <w:rFonts w:ascii="Arial" w:hAnsi="Arial" w:cs="Arial"/>
                      <w:b/>
                      <w:lang w:val="pt-BR"/>
                    </w:rPr>
                  </w:pPr>
                  <w:r w:rsidRPr="00DD7721">
                    <w:rPr>
                      <w:rFonts w:ascii="Arial" w:hAnsi="Arial" w:cs="Arial"/>
                      <w:b/>
                      <w:lang w:val="pt-BR"/>
                    </w:rPr>
                    <w:t>ANDRÉS ESCOBAR ARANGO</w:t>
                  </w:r>
                </w:p>
                <w:p w14:paraId="68F8611B" w14:textId="52699611" w:rsidR="00900191" w:rsidRPr="00DD7721" w:rsidRDefault="00525AEB" w:rsidP="00C231C0">
                  <w:pPr>
                    <w:ind w:right="-11"/>
                    <w:jc w:val="center"/>
                    <w:rPr>
                      <w:rFonts w:ascii="Arial" w:hAnsi="Arial" w:cs="Arial"/>
                      <w:bCs/>
                      <w:lang w:val="pt-BR"/>
                    </w:rPr>
                  </w:pPr>
                  <w:r w:rsidRPr="00DD7721">
                    <w:rPr>
                      <w:rFonts w:ascii="Arial" w:hAnsi="Arial" w:cs="Arial"/>
                      <w:bCs/>
                      <w:lang w:val="pt-BR"/>
                    </w:rPr>
                    <w:t>Presidente Junta Directiva</w:t>
                  </w:r>
                </w:p>
              </w:tc>
              <w:tc>
                <w:tcPr>
                  <w:tcW w:w="4236" w:type="dxa"/>
                  <w:shd w:val="clear" w:color="auto" w:fill="auto"/>
                  <w:vAlign w:val="center"/>
                </w:tcPr>
                <w:p w14:paraId="24A7D3D9" w14:textId="77777777" w:rsidR="008620C3" w:rsidRPr="00DD7721" w:rsidRDefault="008620C3" w:rsidP="00156D23">
                  <w:pPr>
                    <w:ind w:right="618"/>
                    <w:rPr>
                      <w:rFonts w:ascii="Arial" w:hAnsi="Arial" w:cs="Arial"/>
                      <w:b/>
                      <w:lang w:val="pt-BR"/>
                    </w:rPr>
                  </w:pPr>
                </w:p>
                <w:p w14:paraId="426E8073" w14:textId="77777777" w:rsidR="00F8502E" w:rsidRPr="00DD7721" w:rsidRDefault="00F8502E" w:rsidP="00156D23">
                  <w:pPr>
                    <w:ind w:right="618"/>
                    <w:rPr>
                      <w:rFonts w:ascii="Arial" w:hAnsi="Arial" w:cs="Arial"/>
                      <w:b/>
                      <w:lang w:val="pt-BR"/>
                    </w:rPr>
                  </w:pPr>
                </w:p>
                <w:p w14:paraId="60954619" w14:textId="77777777" w:rsidR="00F8502E" w:rsidRPr="00DD7721" w:rsidRDefault="00F8502E" w:rsidP="00156D23">
                  <w:pPr>
                    <w:ind w:right="618"/>
                    <w:rPr>
                      <w:rFonts w:ascii="Arial" w:hAnsi="Arial" w:cs="Arial"/>
                      <w:b/>
                      <w:lang w:val="pt-BR"/>
                    </w:rPr>
                  </w:pPr>
                </w:p>
                <w:p w14:paraId="32073346" w14:textId="77777777" w:rsidR="00525AEB" w:rsidRPr="00DD7721" w:rsidRDefault="00525AEB" w:rsidP="00F3637E">
                  <w:pPr>
                    <w:jc w:val="center"/>
                    <w:rPr>
                      <w:rFonts w:ascii="Arial" w:hAnsi="Arial" w:cs="Arial"/>
                      <w:b/>
                    </w:rPr>
                  </w:pPr>
                  <w:r w:rsidRPr="00DD7721">
                    <w:rPr>
                      <w:rFonts w:ascii="Arial" w:hAnsi="Arial" w:cs="Arial"/>
                      <w:b/>
                    </w:rPr>
                    <w:t>JUAN RICARDO ORTEGA LÓPEZ</w:t>
                  </w:r>
                </w:p>
                <w:p w14:paraId="5946E024" w14:textId="436D0379" w:rsidR="00900191" w:rsidRPr="00DD7721" w:rsidRDefault="00525AEB" w:rsidP="00C231C0">
                  <w:pPr>
                    <w:tabs>
                      <w:tab w:val="left" w:pos="357"/>
                    </w:tabs>
                    <w:ind w:right="-26"/>
                    <w:jc w:val="center"/>
                    <w:outlineLvl w:val="0"/>
                    <w:rPr>
                      <w:rFonts w:ascii="Arial" w:hAnsi="Arial" w:cs="Arial"/>
                    </w:rPr>
                  </w:pPr>
                  <w:r w:rsidRPr="00DD7721">
                    <w:rPr>
                      <w:rFonts w:ascii="Arial" w:hAnsi="Arial" w:cs="Arial"/>
                    </w:rPr>
                    <w:t>Presidente GEB S.A. E.S.P.</w:t>
                  </w:r>
                </w:p>
              </w:tc>
            </w:tr>
            <w:tr w:rsidR="00525AEB" w:rsidRPr="00DD7721" w14:paraId="0F729042" w14:textId="77777777" w:rsidTr="00F3637E">
              <w:trPr>
                <w:jc w:val="center"/>
              </w:trPr>
              <w:tc>
                <w:tcPr>
                  <w:tcW w:w="4220" w:type="dxa"/>
                  <w:vAlign w:val="center"/>
                </w:tcPr>
                <w:p w14:paraId="33ED5951" w14:textId="77777777" w:rsidR="00525AEB" w:rsidRPr="00DD7721" w:rsidRDefault="00525AEB" w:rsidP="00F3637E">
                  <w:pPr>
                    <w:ind w:right="618"/>
                    <w:jc w:val="center"/>
                    <w:rPr>
                      <w:rFonts w:ascii="Arial" w:hAnsi="Arial" w:cs="Arial"/>
                      <w:b/>
                    </w:rPr>
                  </w:pPr>
                </w:p>
              </w:tc>
              <w:tc>
                <w:tcPr>
                  <w:tcW w:w="4236" w:type="dxa"/>
                  <w:shd w:val="clear" w:color="auto" w:fill="auto"/>
                  <w:vAlign w:val="center"/>
                </w:tcPr>
                <w:p w14:paraId="33885005" w14:textId="77777777" w:rsidR="00525AEB" w:rsidRPr="00DD7721" w:rsidRDefault="00525AEB" w:rsidP="00F3637E">
                  <w:pPr>
                    <w:ind w:right="618"/>
                    <w:jc w:val="center"/>
                    <w:rPr>
                      <w:rFonts w:ascii="Arial" w:hAnsi="Arial" w:cs="Arial"/>
                      <w:b/>
                    </w:rPr>
                  </w:pPr>
                </w:p>
              </w:tc>
            </w:tr>
          </w:tbl>
          <w:p w14:paraId="3914EF8C" w14:textId="77777777" w:rsidR="00525AEB" w:rsidRPr="00DD7721" w:rsidRDefault="00525AEB" w:rsidP="00F3637E">
            <w:pPr>
              <w:ind w:right="618"/>
              <w:outlineLvl w:val="0"/>
              <w:rPr>
                <w:rFonts w:ascii="Arial" w:hAnsi="Arial" w:cs="Arial"/>
                <w:b/>
              </w:rPr>
            </w:pPr>
          </w:p>
        </w:tc>
      </w:tr>
    </w:tbl>
    <w:p w14:paraId="0B238132" w14:textId="77777777" w:rsidR="00121B81" w:rsidRPr="00DD7721" w:rsidRDefault="00121B81">
      <w:pPr>
        <w:rPr>
          <w:rFonts w:ascii="Arial" w:hAnsi="Arial" w:cs="Arial"/>
        </w:rPr>
      </w:pPr>
    </w:p>
    <w:sectPr w:rsidR="00121B81" w:rsidRPr="00DD7721" w:rsidSect="00A44058">
      <w:pgSz w:w="12240" w:h="15840" w:code="1"/>
      <w:pgMar w:top="1560"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84D8" w14:textId="77777777" w:rsidR="001F490B" w:rsidRDefault="001F490B" w:rsidP="007F00FB">
      <w:r>
        <w:separator/>
      </w:r>
    </w:p>
  </w:endnote>
  <w:endnote w:type="continuationSeparator" w:id="0">
    <w:p w14:paraId="29A679E6" w14:textId="77777777" w:rsidR="001F490B" w:rsidRDefault="001F490B" w:rsidP="007F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DA54" w14:textId="77777777" w:rsidR="001F490B" w:rsidRDefault="001F490B" w:rsidP="007F00FB">
      <w:r>
        <w:separator/>
      </w:r>
    </w:p>
  </w:footnote>
  <w:footnote w:type="continuationSeparator" w:id="0">
    <w:p w14:paraId="32A33D38" w14:textId="77777777" w:rsidR="001F490B" w:rsidRDefault="001F490B" w:rsidP="007F0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2487B"/>
    <w:multiLevelType w:val="hybridMultilevel"/>
    <w:tmpl w:val="6304173A"/>
    <w:lvl w:ilvl="0" w:tplc="547A54C4">
      <w:numFmt w:val="bullet"/>
      <w:lvlText w:val="-"/>
      <w:lvlJc w:val="left"/>
      <w:pPr>
        <w:ind w:left="720" w:hanging="360"/>
      </w:pPr>
      <w:rPr>
        <w:rFonts w:ascii="Arial" w:eastAsia="Times New Roman" w:hAnsi="Arial" w:cs="Arial"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F3390D"/>
    <w:multiLevelType w:val="hybridMultilevel"/>
    <w:tmpl w:val="9AEE4152"/>
    <w:lvl w:ilvl="0" w:tplc="02D4DE32">
      <w:start w:val="1"/>
      <w:numFmt w:val="decimal"/>
      <w:lvlText w:val="%1."/>
      <w:lvlJc w:val="left"/>
      <w:pPr>
        <w:ind w:left="360" w:hanging="360"/>
      </w:pPr>
    </w:lvl>
    <w:lvl w:ilvl="1" w:tplc="5F2EE494">
      <w:start w:val="1"/>
      <w:numFmt w:val="decimal"/>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4A265DC4"/>
    <w:multiLevelType w:val="multilevel"/>
    <w:tmpl w:val="B9CE8C8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167" w:hanging="1080"/>
      </w:pPr>
      <w:rPr>
        <w:rFonts w:hint="default"/>
      </w:rPr>
    </w:lvl>
    <w:lvl w:ilvl="8">
      <w:start w:val="1"/>
      <w:numFmt w:val="decimal"/>
      <w:isLgl/>
      <w:lvlText w:val="%1.%2.%3.%4.%5.%6.%7.%8.%9."/>
      <w:lvlJc w:val="left"/>
      <w:pPr>
        <w:ind w:left="4887" w:hanging="1440"/>
      </w:pPr>
      <w:rPr>
        <w:rFonts w:hint="default"/>
      </w:rPr>
    </w:lvl>
  </w:abstractNum>
  <w:abstractNum w:abstractNumId="3" w15:restartNumberingAfterBreak="0">
    <w:nsid w:val="5C060AD3"/>
    <w:multiLevelType w:val="multilevel"/>
    <w:tmpl w:val="F3BAB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80A90"/>
    <w:multiLevelType w:val="hybridMultilevel"/>
    <w:tmpl w:val="DA26A114"/>
    <w:lvl w:ilvl="0" w:tplc="240A0001">
      <w:start w:val="1"/>
      <w:numFmt w:val="bullet"/>
      <w:lvlText w:val=""/>
      <w:lvlJc w:val="left"/>
      <w:pPr>
        <w:ind w:left="1353" w:hanging="360"/>
      </w:pPr>
      <w:rPr>
        <w:rFonts w:ascii="Symbol" w:hAnsi="Symbol" w:hint="default"/>
        <w:u w:val="none"/>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5" w15:restartNumberingAfterBreak="0">
    <w:nsid w:val="60E44BA5"/>
    <w:multiLevelType w:val="multilevel"/>
    <w:tmpl w:val="808E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B73F4F"/>
    <w:multiLevelType w:val="multilevel"/>
    <w:tmpl w:val="D5584BE8"/>
    <w:lvl w:ilvl="0">
      <w:start w:val="5"/>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15:restartNumberingAfterBreak="0">
    <w:nsid w:val="67626931"/>
    <w:multiLevelType w:val="multilevel"/>
    <w:tmpl w:val="5E74F94C"/>
    <w:lvl w:ilvl="0">
      <w:start w:val="1"/>
      <w:numFmt w:val="decimal"/>
      <w:pStyle w:val="Ttulo1"/>
      <w:lvlText w:val="%1."/>
      <w:lvlJc w:val="left"/>
      <w:pPr>
        <w:ind w:left="5463" w:hanging="360"/>
      </w:pPr>
      <w:rPr>
        <w:rFonts w:hint="default"/>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520" w:hanging="108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600" w:hanging="144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680" w:hanging="1800"/>
      </w:pPr>
      <w:rPr>
        <w:rFonts w:hint="default"/>
        <w:sz w:val="22"/>
      </w:rPr>
    </w:lvl>
    <w:lvl w:ilvl="8">
      <w:start w:val="1"/>
      <w:numFmt w:val="decimal"/>
      <w:isLgl/>
      <w:lvlText w:val="%1.%2.%3.%4.%5.%6.%7.%8.%9"/>
      <w:lvlJc w:val="left"/>
      <w:pPr>
        <w:ind w:left="5040" w:hanging="1800"/>
      </w:pPr>
      <w:rPr>
        <w:rFonts w:hint="default"/>
        <w:sz w:val="22"/>
      </w:rPr>
    </w:lvl>
  </w:abstractNum>
  <w:abstractNum w:abstractNumId="8" w15:restartNumberingAfterBreak="0">
    <w:nsid w:val="6E0F1411"/>
    <w:multiLevelType w:val="hybridMultilevel"/>
    <w:tmpl w:val="1C0E986C"/>
    <w:lvl w:ilvl="0" w:tplc="240A0001">
      <w:start w:val="1"/>
      <w:numFmt w:val="bullet"/>
      <w:lvlText w:val=""/>
      <w:lvlJc w:val="left"/>
      <w:pPr>
        <w:ind w:left="1569" w:hanging="360"/>
      </w:pPr>
      <w:rPr>
        <w:rFonts w:ascii="Symbol" w:hAnsi="Symbol" w:hint="default"/>
      </w:rPr>
    </w:lvl>
    <w:lvl w:ilvl="1" w:tplc="240A0003">
      <w:start w:val="1"/>
      <w:numFmt w:val="bullet"/>
      <w:lvlText w:val="o"/>
      <w:lvlJc w:val="left"/>
      <w:pPr>
        <w:ind w:left="2289" w:hanging="360"/>
      </w:pPr>
      <w:rPr>
        <w:rFonts w:ascii="Courier New" w:hAnsi="Courier New" w:cs="Courier New" w:hint="default"/>
      </w:rPr>
    </w:lvl>
    <w:lvl w:ilvl="2" w:tplc="240A0005" w:tentative="1">
      <w:start w:val="1"/>
      <w:numFmt w:val="bullet"/>
      <w:lvlText w:val=""/>
      <w:lvlJc w:val="left"/>
      <w:pPr>
        <w:ind w:left="3009" w:hanging="360"/>
      </w:pPr>
      <w:rPr>
        <w:rFonts w:ascii="Wingdings" w:hAnsi="Wingdings" w:hint="default"/>
      </w:rPr>
    </w:lvl>
    <w:lvl w:ilvl="3" w:tplc="240A0001" w:tentative="1">
      <w:start w:val="1"/>
      <w:numFmt w:val="bullet"/>
      <w:lvlText w:val=""/>
      <w:lvlJc w:val="left"/>
      <w:pPr>
        <w:ind w:left="3729" w:hanging="360"/>
      </w:pPr>
      <w:rPr>
        <w:rFonts w:ascii="Symbol" w:hAnsi="Symbol" w:hint="default"/>
      </w:rPr>
    </w:lvl>
    <w:lvl w:ilvl="4" w:tplc="240A0003" w:tentative="1">
      <w:start w:val="1"/>
      <w:numFmt w:val="bullet"/>
      <w:lvlText w:val="o"/>
      <w:lvlJc w:val="left"/>
      <w:pPr>
        <w:ind w:left="4449" w:hanging="360"/>
      </w:pPr>
      <w:rPr>
        <w:rFonts w:ascii="Courier New" w:hAnsi="Courier New" w:cs="Courier New" w:hint="default"/>
      </w:rPr>
    </w:lvl>
    <w:lvl w:ilvl="5" w:tplc="240A0005" w:tentative="1">
      <w:start w:val="1"/>
      <w:numFmt w:val="bullet"/>
      <w:lvlText w:val=""/>
      <w:lvlJc w:val="left"/>
      <w:pPr>
        <w:ind w:left="5169" w:hanging="360"/>
      </w:pPr>
      <w:rPr>
        <w:rFonts w:ascii="Wingdings" w:hAnsi="Wingdings" w:hint="default"/>
      </w:rPr>
    </w:lvl>
    <w:lvl w:ilvl="6" w:tplc="240A0001" w:tentative="1">
      <w:start w:val="1"/>
      <w:numFmt w:val="bullet"/>
      <w:lvlText w:val=""/>
      <w:lvlJc w:val="left"/>
      <w:pPr>
        <w:ind w:left="5889" w:hanging="360"/>
      </w:pPr>
      <w:rPr>
        <w:rFonts w:ascii="Symbol" w:hAnsi="Symbol" w:hint="default"/>
      </w:rPr>
    </w:lvl>
    <w:lvl w:ilvl="7" w:tplc="240A0003" w:tentative="1">
      <w:start w:val="1"/>
      <w:numFmt w:val="bullet"/>
      <w:lvlText w:val="o"/>
      <w:lvlJc w:val="left"/>
      <w:pPr>
        <w:ind w:left="6609" w:hanging="360"/>
      </w:pPr>
      <w:rPr>
        <w:rFonts w:ascii="Courier New" w:hAnsi="Courier New" w:cs="Courier New" w:hint="default"/>
      </w:rPr>
    </w:lvl>
    <w:lvl w:ilvl="8" w:tplc="240A0005" w:tentative="1">
      <w:start w:val="1"/>
      <w:numFmt w:val="bullet"/>
      <w:lvlText w:val=""/>
      <w:lvlJc w:val="left"/>
      <w:pPr>
        <w:ind w:left="7329" w:hanging="360"/>
      </w:pPr>
      <w:rPr>
        <w:rFonts w:ascii="Wingdings" w:hAnsi="Wingdings" w:hint="default"/>
      </w:rPr>
    </w:lvl>
  </w:abstractNum>
  <w:num w:numId="1" w16cid:durableId="1307662908">
    <w:abstractNumId w:val="2"/>
  </w:num>
  <w:num w:numId="2" w16cid:durableId="610168991">
    <w:abstractNumId w:val="7"/>
  </w:num>
  <w:num w:numId="3" w16cid:durableId="1788817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970824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934704">
    <w:abstractNumId w:val="8"/>
  </w:num>
  <w:num w:numId="6" w16cid:durableId="782383131">
    <w:abstractNumId w:val="4"/>
  </w:num>
  <w:num w:numId="7" w16cid:durableId="1043482597">
    <w:abstractNumId w:val="0"/>
  </w:num>
  <w:num w:numId="8" w16cid:durableId="391658461">
    <w:abstractNumId w:val="5"/>
  </w:num>
  <w:num w:numId="9" w16cid:durableId="295184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EB"/>
    <w:rsid w:val="00005F8D"/>
    <w:rsid w:val="00006025"/>
    <w:rsid w:val="00030DB1"/>
    <w:rsid w:val="000345F3"/>
    <w:rsid w:val="00055174"/>
    <w:rsid w:val="00057F79"/>
    <w:rsid w:val="00081EF2"/>
    <w:rsid w:val="0008684B"/>
    <w:rsid w:val="000B0D3B"/>
    <w:rsid w:val="000B44B8"/>
    <w:rsid w:val="000C6BFD"/>
    <w:rsid w:val="000E1ADF"/>
    <w:rsid w:val="000E6C9A"/>
    <w:rsid w:val="000F605F"/>
    <w:rsid w:val="001042CF"/>
    <w:rsid w:val="00121B81"/>
    <w:rsid w:val="00134210"/>
    <w:rsid w:val="001424E0"/>
    <w:rsid w:val="00156D23"/>
    <w:rsid w:val="001607C3"/>
    <w:rsid w:val="00167863"/>
    <w:rsid w:val="001718B2"/>
    <w:rsid w:val="001802A4"/>
    <w:rsid w:val="001910B4"/>
    <w:rsid w:val="001932D6"/>
    <w:rsid w:val="001B2596"/>
    <w:rsid w:val="001F490B"/>
    <w:rsid w:val="00205266"/>
    <w:rsid w:val="00223D2C"/>
    <w:rsid w:val="002245B4"/>
    <w:rsid w:val="00226EEA"/>
    <w:rsid w:val="00260111"/>
    <w:rsid w:val="00284AAC"/>
    <w:rsid w:val="002A07D6"/>
    <w:rsid w:val="002A0D87"/>
    <w:rsid w:val="002A6F5C"/>
    <w:rsid w:val="002E72BA"/>
    <w:rsid w:val="002F3EA2"/>
    <w:rsid w:val="00335194"/>
    <w:rsid w:val="0034378F"/>
    <w:rsid w:val="00352D8D"/>
    <w:rsid w:val="003662CB"/>
    <w:rsid w:val="00366A57"/>
    <w:rsid w:val="003736DC"/>
    <w:rsid w:val="00375B22"/>
    <w:rsid w:val="0037654C"/>
    <w:rsid w:val="0038023D"/>
    <w:rsid w:val="00380C48"/>
    <w:rsid w:val="00390CDA"/>
    <w:rsid w:val="003922B9"/>
    <w:rsid w:val="003977E1"/>
    <w:rsid w:val="003C50BD"/>
    <w:rsid w:val="003C6E66"/>
    <w:rsid w:val="003D5A37"/>
    <w:rsid w:val="003E6601"/>
    <w:rsid w:val="003F25C0"/>
    <w:rsid w:val="003F3C36"/>
    <w:rsid w:val="004023D1"/>
    <w:rsid w:val="00406310"/>
    <w:rsid w:val="00413F76"/>
    <w:rsid w:val="0041636D"/>
    <w:rsid w:val="00417468"/>
    <w:rsid w:val="00436410"/>
    <w:rsid w:val="00436BD3"/>
    <w:rsid w:val="00443040"/>
    <w:rsid w:val="004464F7"/>
    <w:rsid w:val="004513D8"/>
    <w:rsid w:val="004627E1"/>
    <w:rsid w:val="0047146D"/>
    <w:rsid w:val="004825AC"/>
    <w:rsid w:val="004C1FB3"/>
    <w:rsid w:val="004D679A"/>
    <w:rsid w:val="004F4FAE"/>
    <w:rsid w:val="005152E8"/>
    <w:rsid w:val="00525AEB"/>
    <w:rsid w:val="00546A63"/>
    <w:rsid w:val="005564FA"/>
    <w:rsid w:val="00565B5D"/>
    <w:rsid w:val="0057173C"/>
    <w:rsid w:val="0059061E"/>
    <w:rsid w:val="005B0BD9"/>
    <w:rsid w:val="005B3AB8"/>
    <w:rsid w:val="005C51F9"/>
    <w:rsid w:val="00607597"/>
    <w:rsid w:val="00651CB7"/>
    <w:rsid w:val="00670C21"/>
    <w:rsid w:val="00671C09"/>
    <w:rsid w:val="00687EBC"/>
    <w:rsid w:val="00691238"/>
    <w:rsid w:val="00693BE5"/>
    <w:rsid w:val="00697982"/>
    <w:rsid w:val="006B4637"/>
    <w:rsid w:val="006B66F7"/>
    <w:rsid w:val="006D7306"/>
    <w:rsid w:val="006F3E34"/>
    <w:rsid w:val="00703D6D"/>
    <w:rsid w:val="00714EB5"/>
    <w:rsid w:val="00724602"/>
    <w:rsid w:val="00742352"/>
    <w:rsid w:val="00755456"/>
    <w:rsid w:val="00762033"/>
    <w:rsid w:val="0076665D"/>
    <w:rsid w:val="00780F3C"/>
    <w:rsid w:val="0078355B"/>
    <w:rsid w:val="00793216"/>
    <w:rsid w:val="007C4626"/>
    <w:rsid w:val="007D0057"/>
    <w:rsid w:val="007D3F1B"/>
    <w:rsid w:val="007E249C"/>
    <w:rsid w:val="007E7D49"/>
    <w:rsid w:val="007F00FB"/>
    <w:rsid w:val="007F379F"/>
    <w:rsid w:val="0080591B"/>
    <w:rsid w:val="00813C7A"/>
    <w:rsid w:val="00817A7D"/>
    <w:rsid w:val="008201D6"/>
    <w:rsid w:val="008514EA"/>
    <w:rsid w:val="00853E88"/>
    <w:rsid w:val="00860799"/>
    <w:rsid w:val="0086150F"/>
    <w:rsid w:val="008620C3"/>
    <w:rsid w:val="00877ABD"/>
    <w:rsid w:val="0089129A"/>
    <w:rsid w:val="00897E0B"/>
    <w:rsid w:val="008A0C81"/>
    <w:rsid w:val="008A5662"/>
    <w:rsid w:val="008A6C4C"/>
    <w:rsid w:val="008B30BB"/>
    <w:rsid w:val="008F1CEC"/>
    <w:rsid w:val="008F65C4"/>
    <w:rsid w:val="00900191"/>
    <w:rsid w:val="00904DA8"/>
    <w:rsid w:val="00904EDB"/>
    <w:rsid w:val="00905465"/>
    <w:rsid w:val="00913CE1"/>
    <w:rsid w:val="00920265"/>
    <w:rsid w:val="00960E25"/>
    <w:rsid w:val="0096680B"/>
    <w:rsid w:val="00992029"/>
    <w:rsid w:val="009A077E"/>
    <w:rsid w:val="009C4D7E"/>
    <w:rsid w:val="00A10994"/>
    <w:rsid w:val="00A1593C"/>
    <w:rsid w:val="00A20479"/>
    <w:rsid w:val="00A2695A"/>
    <w:rsid w:val="00A3529C"/>
    <w:rsid w:val="00A44058"/>
    <w:rsid w:val="00A55533"/>
    <w:rsid w:val="00A648A7"/>
    <w:rsid w:val="00A94397"/>
    <w:rsid w:val="00A94CB3"/>
    <w:rsid w:val="00AB5327"/>
    <w:rsid w:val="00AB6B69"/>
    <w:rsid w:val="00AF3113"/>
    <w:rsid w:val="00B008A6"/>
    <w:rsid w:val="00B11DE9"/>
    <w:rsid w:val="00B252DB"/>
    <w:rsid w:val="00B313A2"/>
    <w:rsid w:val="00B35744"/>
    <w:rsid w:val="00B40B6D"/>
    <w:rsid w:val="00B730B4"/>
    <w:rsid w:val="00B742C0"/>
    <w:rsid w:val="00B90FEA"/>
    <w:rsid w:val="00BC6661"/>
    <w:rsid w:val="00BE06B7"/>
    <w:rsid w:val="00BE69AC"/>
    <w:rsid w:val="00BF5050"/>
    <w:rsid w:val="00C13A57"/>
    <w:rsid w:val="00C231C0"/>
    <w:rsid w:val="00C35615"/>
    <w:rsid w:val="00C55F92"/>
    <w:rsid w:val="00C73420"/>
    <w:rsid w:val="00C81005"/>
    <w:rsid w:val="00C81B8F"/>
    <w:rsid w:val="00C85916"/>
    <w:rsid w:val="00C94C24"/>
    <w:rsid w:val="00CA1D56"/>
    <w:rsid w:val="00CA3F84"/>
    <w:rsid w:val="00CA56DA"/>
    <w:rsid w:val="00CA7CDD"/>
    <w:rsid w:val="00CC0A6D"/>
    <w:rsid w:val="00CC3280"/>
    <w:rsid w:val="00CC7AB3"/>
    <w:rsid w:val="00CD4D53"/>
    <w:rsid w:val="00CF5064"/>
    <w:rsid w:val="00D37F7C"/>
    <w:rsid w:val="00D51DC2"/>
    <w:rsid w:val="00D6430C"/>
    <w:rsid w:val="00D6600D"/>
    <w:rsid w:val="00D81EBE"/>
    <w:rsid w:val="00D85E3A"/>
    <w:rsid w:val="00DA0CCD"/>
    <w:rsid w:val="00DB1005"/>
    <w:rsid w:val="00DB24F6"/>
    <w:rsid w:val="00DB3915"/>
    <w:rsid w:val="00DD7721"/>
    <w:rsid w:val="00DE16C3"/>
    <w:rsid w:val="00DE4E12"/>
    <w:rsid w:val="00DF7BBC"/>
    <w:rsid w:val="00E0736D"/>
    <w:rsid w:val="00E16199"/>
    <w:rsid w:val="00E24634"/>
    <w:rsid w:val="00E458DC"/>
    <w:rsid w:val="00E61881"/>
    <w:rsid w:val="00E70488"/>
    <w:rsid w:val="00E83FE5"/>
    <w:rsid w:val="00E921F3"/>
    <w:rsid w:val="00E92788"/>
    <w:rsid w:val="00EB4788"/>
    <w:rsid w:val="00EE0CA8"/>
    <w:rsid w:val="00EE4CF3"/>
    <w:rsid w:val="00F1064D"/>
    <w:rsid w:val="00F175D1"/>
    <w:rsid w:val="00F3513D"/>
    <w:rsid w:val="00F45156"/>
    <w:rsid w:val="00F459C6"/>
    <w:rsid w:val="00F6618C"/>
    <w:rsid w:val="00F81CB6"/>
    <w:rsid w:val="00F8502E"/>
    <w:rsid w:val="00FE586F"/>
    <w:rsid w:val="00FF389B"/>
    <w:rsid w:val="15CDE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221B"/>
  <w15:chartTrackingRefBased/>
  <w15:docId w15:val="{E2BC38FE-8CFB-4989-8AB7-8646934C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s-CO"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E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Prrafodelista"/>
    <w:link w:val="Ttulo1Car"/>
    <w:qFormat/>
    <w:rsid w:val="000E6C9A"/>
    <w:pPr>
      <w:numPr>
        <w:numId w:val="2"/>
      </w:numPr>
      <w:jc w:val="both"/>
      <w:outlineLvl w:val="0"/>
    </w:pPr>
    <w:rPr>
      <w:rFonts w:ascii="Arial" w:eastAsiaTheme="minorHAnsi" w:hAnsi="Arial" w:cs="Arial"/>
      <w:b/>
      <w:sz w:val="22"/>
      <w:szCs w:val="22"/>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525AEB"/>
    <w:pPr>
      <w:ind w:left="567" w:right="618"/>
      <w:jc w:val="both"/>
    </w:pPr>
    <w:rPr>
      <w:rFonts w:ascii="Verdana" w:hAnsi="Verdana"/>
    </w:rPr>
  </w:style>
  <w:style w:type="paragraph" w:styleId="Textoindependiente">
    <w:name w:val="Body Text"/>
    <w:basedOn w:val="Normal"/>
    <w:link w:val="TextoindependienteCar"/>
    <w:rsid w:val="00525AEB"/>
    <w:pPr>
      <w:spacing w:after="120"/>
    </w:pPr>
    <w:rPr>
      <w:lang w:val="es-ES_tradnl"/>
    </w:rPr>
  </w:style>
  <w:style w:type="character" w:customStyle="1" w:styleId="TextoindependienteCar">
    <w:name w:val="Texto independiente Car"/>
    <w:basedOn w:val="Fuentedeprrafopredeter"/>
    <w:link w:val="Textoindependiente"/>
    <w:rsid w:val="00525AEB"/>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525AEB"/>
    <w:rPr>
      <w:color w:val="0000FF"/>
      <w:u w:val="single"/>
    </w:rPr>
  </w:style>
  <w:style w:type="paragraph" w:styleId="Textonotapie">
    <w:name w:val="footnote text"/>
    <w:basedOn w:val="Normal"/>
    <w:link w:val="TextonotapieCar"/>
    <w:uiPriority w:val="99"/>
    <w:semiHidden/>
    <w:unhideWhenUsed/>
    <w:rsid w:val="007F00FB"/>
  </w:style>
  <w:style w:type="character" w:customStyle="1" w:styleId="TextonotapieCar">
    <w:name w:val="Texto nota pie Car"/>
    <w:basedOn w:val="Fuentedeprrafopredeter"/>
    <w:link w:val="Textonotapie"/>
    <w:uiPriority w:val="99"/>
    <w:semiHidden/>
    <w:rsid w:val="007F00F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F00FB"/>
    <w:rPr>
      <w:vertAlign w:val="superscript"/>
    </w:rPr>
  </w:style>
  <w:style w:type="paragraph" w:styleId="Revisin">
    <w:name w:val="Revision"/>
    <w:hidden/>
    <w:uiPriority w:val="99"/>
    <w:semiHidden/>
    <w:rsid w:val="00B90FEA"/>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A648A7"/>
    <w:rPr>
      <w:sz w:val="16"/>
      <w:szCs w:val="16"/>
    </w:rPr>
  </w:style>
  <w:style w:type="paragraph" w:styleId="Textocomentario">
    <w:name w:val="annotation text"/>
    <w:basedOn w:val="Normal"/>
    <w:link w:val="TextocomentarioCar"/>
    <w:uiPriority w:val="99"/>
    <w:unhideWhenUsed/>
    <w:rsid w:val="00A648A7"/>
  </w:style>
  <w:style w:type="character" w:customStyle="1" w:styleId="TextocomentarioCar">
    <w:name w:val="Texto comentario Car"/>
    <w:basedOn w:val="Fuentedeprrafopredeter"/>
    <w:link w:val="Textocomentario"/>
    <w:uiPriority w:val="99"/>
    <w:rsid w:val="00A64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648A7"/>
    <w:rPr>
      <w:b/>
      <w:bCs/>
    </w:rPr>
  </w:style>
  <w:style w:type="character" w:customStyle="1" w:styleId="AsuntodelcomentarioCar">
    <w:name w:val="Asunto del comentario Car"/>
    <w:basedOn w:val="TextocomentarioCar"/>
    <w:link w:val="Asuntodelcomentario"/>
    <w:uiPriority w:val="99"/>
    <w:semiHidden/>
    <w:rsid w:val="00A648A7"/>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6D7306"/>
    <w:pPr>
      <w:tabs>
        <w:tab w:val="center" w:pos="4419"/>
        <w:tab w:val="right" w:pos="8838"/>
      </w:tabs>
    </w:pPr>
  </w:style>
  <w:style w:type="character" w:customStyle="1" w:styleId="EncabezadoCar">
    <w:name w:val="Encabezado Car"/>
    <w:basedOn w:val="Fuentedeprrafopredeter"/>
    <w:link w:val="Encabezado"/>
    <w:uiPriority w:val="99"/>
    <w:rsid w:val="006D730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D7306"/>
    <w:pPr>
      <w:tabs>
        <w:tab w:val="center" w:pos="4419"/>
        <w:tab w:val="right" w:pos="8838"/>
      </w:tabs>
    </w:pPr>
  </w:style>
  <w:style w:type="character" w:customStyle="1" w:styleId="PiedepginaCar">
    <w:name w:val="Pie de página Car"/>
    <w:basedOn w:val="Fuentedeprrafopredeter"/>
    <w:link w:val="Piedepgina"/>
    <w:uiPriority w:val="99"/>
    <w:rsid w:val="006D7306"/>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rsid w:val="000E6C9A"/>
    <w:rPr>
      <w:rFonts w:cs="Arial"/>
      <w:b/>
      <w:lang w:val="es-ES_tradnl"/>
    </w:rPr>
  </w:style>
  <w:style w:type="paragraph" w:styleId="Prrafodelista">
    <w:name w:val="List Paragraph"/>
    <w:basedOn w:val="Normal"/>
    <w:uiPriority w:val="34"/>
    <w:qFormat/>
    <w:rsid w:val="000E6C9A"/>
    <w:pPr>
      <w:ind w:left="720"/>
      <w:contextualSpacing/>
    </w:pPr>
  </w:style>
  <w:style w:type="character" w:customStyle="1" w:styleId="normaltextrun">
    <w:name w:val="normaltextrun"/>
    <w:basedOn w:val="Fuentedeprrafopredeter"/>
    <w:rsid w:val="0037654C"/>
  </w:style>
  <w:style w:type="character" w:styleId="Mencinsinresolver">
    <w:name w:val="Unresolved Mention"/>
    <w:basedOn w:val="Fuentedeprrafopredeter"/>
    <w:uiPriority w:val="99"/>
    <w:semiHidden/>
    <w:unhideWhenUsed/>
    <w:rsid w:val="0047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6243">
      <w:bodyDiv w:val="1"/>
      <w:marLeft w:val="0"/>
      <w:marRight w:val="0"/>
      <w:marTop w:val="0"/>
      <w:marBottom w:val="0"/>
      <w:divBdr>
        <w:top w:val="none" w:sz="0" w:space="0" w:color="auto"/>
        <w:left w:val="none" w:sz="0" w:space="0" w:color="auto"/>
        <w:bottom w:val="none" w:sz="0" w:space="0" w:color="auto"/>
        <w:right w:val="none" w:sz="0" w:space="0" w:color="auto"/>
      </w:divBdr>
    </w:div>
    <w:div w:id="783811978">
      <w:bodyDiv w:val="1"/>
      <w:marLeft w:val="0"/>
      <w:marRight w:val="0"/>
      <w:marTop w:val="0"/>
      <w:marBottom w:val="0"/>
      <w:divBdr>
        <w:top w:val="none" w:sz="0" w:space="0" w:color="auto"/>
        <w:left w:val="none" w:sz="0" w:space="0" w:color="auto"/>
        <w:bottom w:val="none" w:sz="0" w:space="0" w:color="auto"/>
        <w:right w:val="none" w:sz="0" w:space="0" w:color="auto"/>
      </w:divBdr>
    </w:div>
    <w:div w:id="1136528025">
      <w:bodyDiv w:val="1"/>
      <w:marLeft w:val="0"/>
      <w:marRight w:val="0"/>
      <w:marTop w:val="0"/>
      <w:marBottom w:val="0"/>
      <w:divBdr>
        <w:top w:val="none" w:sz="0" w:space="0" w:color="auto"/>
        <w:left w:val="none" w:sz="0" w:space="0" w:color="auto"/>
        <w:bottom w:val="none" w:sz="0" w:space="0" w:color="auto"/>
        <w:right w:val="none" w:sz="0" w:space="0" w:color="auto"/>
      </w:divBdr>
    </w:div>
    <w:div w:id="1184901703">
      <w:bodyDiv w:val="1"/>
      <w:marLeft w:val="0"/>
      <w:marRight w:val="0"/>
      <w:marTop w:val="0"/>
      <w:marBottom w:val="0"/>
      <w:divBdr>
        <w:top w:val="none" w:sz="0" w:space="0" w:color="auto"/>
        <w:left w:val="none" w:sz="0" w:space="0" w:color="auto"/>
        <w:bottom w:val="none" w:sz="0" w:space="0" w:color="auto"/>
        <w:right w:val="none" w:sz="0" w:space="0" w:color="auto"/>
      </w:divBdr>
    </w:div>
    <w:div w:id="1302225781">
      <w:bodyDiv w:val="1"/>
      <w:marLeft w:val="0"/>
      <w:marRight w:val="0"/>
      <w:marTop w:val="0"/>
      <w:marBottom w:val="0"/>
      <w:divBdr>
        <w:top w:val="none" w:sz="0" w:space="0" w:color="auto"/>
        <w:left w:val="none" w:sz="0" w:space="0" w:color="auto"/>
        <w:bottom w:val="none" w:sz="0" w:space="0" w:color="auto"/>
        <w:right w:val="none" w:sz="0" w:space="0" w:color="auto"/>
      </w:divBdr>
    </w:div>
    <w:div w:id="19048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rupoenergiabogota.com.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upoenergiabogota.com.c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rupoenergiabogota.com.c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upoenergiabogot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8C16958EA6EE4CBC6AE02735718EFB" ma:contentTypeVersion="17" ma:contentTypeDescription="Crear nuevo documento." ma:contentTypeScope="" ma:versionID="5b0d8c0f0e61899d4201b46568691246">
  <xsd:schema xmlns:xsd="http://www.w3.org/2001/XMLSchema" xmlns:xs="http://www.w3.org/2001/XMLSchema" xmlns:p="http://schemas.microsoft.com/office/2006/metadata/properties" xmlns:ns3="b09d0da3-56e2-4246-b451-9b2a7d980d40" xmlns:ns4="dfdd4ac8-95e0-431a-b67e-acb2c0ce3759" targetNamespace="http://schemas.microsoft.com/office/2006/metadata/properties" ma:root="true" ma:fieldsID="a21a73fbba637edbcf9ce4e55eba06cc" ns3:_="" ns4:_="">
    <xsd:import namespace="b09d0da3-56e2-4246-b451-9b2a7d980d40"/>
    <xsd:import namespace="dfdd4ac8-95e0-431a-b67e-acb2c0ce37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d0da3-56e2-4246-b451-9b2a7d980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d4ac8-95e0-431a-b67e-acb2c0ce375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 A c t i v e ! 2 8 6 7 0 5 9 . 4 < / d o c u m e n t i d >  
     < s e n d e r i d > A S T E P H A N O U < / s e n d e r i d >  
     < s e n d e r e m a i l > A S T E P H A N O U @ G O M E Z P I N Z O N . C O M < / s e n d e r e m a i l >  
     < l a s t m o d i f i e d > 2 0 2 3 - 0 2 - 2 3 T 0 8 : 1 8 : 0 0 . 0 0 0 0 0 0 0 - 0 5 : 0 0 < / l a s t m o d i f i e d >  
     < d a t a b a s e > A c t i v e 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b09d0da3-56e2-4246-b451-9b2a7d980d40" xsi:nil="true"/>
  </documentManagement>
</p:properties>
</file>

<file path=customXml/itemProps1.xml><?xml version="1.0" encoding="utf-8"?>
<ds:datastoreItem xmlns:ds="http://schemas.openxmlformats.org/officeDocument/2006/customXml" ds:itemID="{C3C9F571-25AF-4E5F-882B-B73C8C90F52F}">
  <ds:schemaRefs>
    <ds:schemaRef ds:uri="http://schemas.microsoft.com/sharepoint/v3/contenttype/forms"/>
  </ds:schemaRefs>
</ds:datastoreItem>
</file>

<file path=customXml/itemProps2.xml><?xml version="1.0" encoding="utf-8"?>
<ds:datastoreItem xmlns:ds="http://schemas.openxmlformats.org/officeDocument/2006/customXml" ds:itemID="{56EDD2C5-429E-472B-AEB1-59A095665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d0da3-56e2-4246-b451-9b2a7d980d40"/>
    <ds:schemaRef ds:uri="dfdd4ac8-95e0-431a-b67e-acb2c0ce3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D2D31-F193-4203-BE7E-8E500842F7B6}">
  <ds:schemaRefs>
    <ds:schemaRef ds:uri="http://www.imanage.com/work/xmlschema"/>
  </ds:schemaRefs>
</ds:datastoreItem>
</file>

<file path=customXml/itemProps4.xml><?xml version="1.0" encoding="utf-8"?>
<ds:datastoreItem xmlns:ds="http://schemas.openxmlformats.org/officeDocument/2006/customXml" ds:itemID="{D5F9ABA4-FC5A-443F-B26F-D2FB8E0512C6}">
  <ds:schemaRefs>
    <ds:schemaRef ds:uri="http://schemas.openxmlformats.org/officeDocument/2006/bibliography"/>
  </ds:schemaRefs>
</ds:datastoreItem>
</file>

<file path=customXml/itemProps5.xml><?xml version="1.0" encoding="utf-8"?>
<ds:datastoreItem xmlns:ds="http://schemas.openxmlformats.org/officeDocument/2006/customXml" ds:itemID="{C2695DA2-8643-4392-941E-5C858216639B}">
  <ds:schemaRefs>
    <ds:schemaRef ds:uri="http://schemas.microsoft.com/office/2006/metadata/properties"/>
    <ds:schemaRef ds:uri="http://schemas.microsoft.com/office/infopath/2007/PartnerControls"/>
    <ds:schemaRef ds:uri="b09d0da3-56e2-4246-b451-9b2a7d980d40"/>
  </ds:schemaRefs>
</ds:datastoreItem>
</file>

<file path=docMetadata/LabelInfo.xml><?xml version="1.0" encoding="utf-8"?>
<clbl:labelList xmlns:clbl="http://schemas.microsoft.com/office/2020/mipLabelMetadata">
  <clbl:label id="{f56440b0-bb43-4d81-a621-bc28eeeaa1f1}" enabled="1" method="Privileged" siteId="{d49de431-8ec2-4627-95dc-a1b041bbab30}" removed="0"/>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568</Words>
  <Characters>3128</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Ivan Daniel Abaunza Garcia</cp:lastModifiedBy>
  <cp:revision>40</cp:revision>
  <cp:lastPrinted>2024-02-24T16:05:00Z</cp:lastPrinted>
  <dcterms:created xsi:type="dcterms:W3CDTF">2024-02-24T16:04:00Z</dcterms:created>
  <dcterms:modified xsi:type="dcterms:W3CDTF">2024-10-31T22:35:00Z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0x010100F98C16958EA6EE4CBC6AE02735718EFB</vt:lpwstr>
  </property>
</Properties>
</file>