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4D31" w14:textId="4A56E3BC" w:rsidR="00E605D8" w:rsidRDefault="00000000" w:rsidP="00E605D8">
      <w:pPr>
        <w:pStyle w:val="Heading1"/>
        <w:numPr>
          <w:ilvl w:val="0"/>
          <w:numId w:val="2"/>
        </w:numPr>
      </w:pPr>
      <w:r>
        <w:rPr>
          <w:lang w:val="en"/>
        </w:rPr>
        <w:t xml:space="preserve">CONCLUSIONS AND RECOMMENDATIONS </w:t>
      </w:r>
    </w:p>
    <w:p w14:paraId="2F8F0F98" w14:textId="77777777" w:rsidR="00E605D8" w:rsidRDefault="00000000" w:rsidP="00E605D8">
      <w:pPr>
        <w:spacing w:after="0" w:line="259" w:lineRule="auto"/>
        <w:ind w:left="0" w:right="0" w:firstLine="0"/>
        <w:jc w:val="left"/>
      </w:pPr>
      <w:r>
        <w:t xml:space="preserve"> </w:t>
      </w:r>
    </w:p>
    <w:p w14:paraId="1E55F5F0" w14:textId="77777777" w:rsidR="00E605D8" w:rsidRDefault="00000000" w:rsidP="00E605D8">
      <w:pPr>
        <w:spacing w:after="10"/>
        <w:ind w:right="0"/>
      </w:pPr>
      <w:r>
        <w:rPr>
          <w:lang w:val="en"/>
        </w:rPr>
        <w:t xml:space="preserve">The main conclusions of the process are that: </w:t>
      </w:r>
    </w:p>
    <w:p w14:paraId="62C8C91C" w14:textId="77777777" w:rsidR="00E605D8" w:rsidRDefault="00000000" w:rsidP="00E605D8">
      <w:pPr>
        <w:spacing w:after="0" w:line="259" w:lineRule="auto"/>
        <w:ind w:left="0" w:right="0" w:firstLine="0"/>
        <w:jc w:val="left"/>
      </w:pPr>
      <w:r>
        <w:t xml:space="preserve"> </w:t>
      </w:r>
    </w:p>
    <w:p w14:paraId="4BD8179B" w14:textId="77777777" w:rsidR="00E605D8" w:rsidRDefault="00000000" w:rsidP="00E605D8">
      <w:pPr>
        <w:spacing w:after="0"/>
        <w:ind w:right="0"/>
      </w:pPr>
      <w:r>
        <w:rPr>
          <w:lang w:val="en"/>
        </w:rPr>
        <w:t xml:space="preserve">Once the review of the reporting information and calculation of emissions of TRANSPORTADORA DE GAS INTERNACIONAL TGI concerning the requirements of ISO 14064-1:2018 (NTC-ISO 14064-1:2020) was conducted, it was concluded that the organization meets most of the associated requirements but has some aspects to be included, so that it can close the gap and perform a complete application of this standard in its processes of accounting, reporting, and verification of organizational GHG emissions. </w:t>
      </w:r>
    </w:p>
    <w:p w14:paraId="3C0E6662" w14:textId="77777777" w:rsidR="00E605D8" w:rsidRDefault="00000000" w:rsidP="00E605D8">
      <w:pPr>
        <w:spacing w:after="0" w:line="259" w:lineRule="auto"/>
        <w:ind w:left="0" w:right="0" w:firstLine="0"/>
        <w:jc w:val="left"/>
      </w:pPr>
      <w:r>
        <w:t xml:space="preserve"> </w:t>
      </w:r>
    </w:p>
    <w:p w14:paraId="0F7A859C" w14:textId="77777777" w:rsidR="00E605D8" w:rsidRDefault="00000000" w:rsidP="00E605D8">
      <w:pPr>
        <w:spacing w:after="0"/>
        <w:ind w:right="0"/>
      </w:pPr>
      <w:r>
        <w:rPr>
          <w:lang w:val="en"/>
        </w:rPr>
        <w:t xml:space="preserve">IT IS RECOMMENDED for the third-party audit process of the 2021 report under this standard to be performed AFTER OVERCOMING THE IDENTIFIED GAPS, since as evidenced at this time, compliance with all the requirements of ISO 14064-1:2018 (NTC-ISO 14064-1:2020) is not met. However, as previously reiterated, the adjustments to be made are easily implemented, and the organization is already complying with most of the associated requirements. </w:t>
      </w:r>
    </w:p>
    <w:p w14:paraId="21FA58A5" w14:textId="77777777" w:rsidR="008A71E8" w:rsidRDefault="008A71E8"/>
    <w:sectPr w:rsidR="008A71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F51E3"/>
    <w:multiLevelType w:val="hybridMultilevel"/>
    <w:tmpl w:val="0302E23E"/>
    <w:lvl w:ilvl="0" w:tplc="424021CA">
      <w:start w:val="5"/>
      <w:numFmt w:val="decimal"/>
      <w:lvlText w:val="%1."/>
      <w:lvlJc w:val="left"/>
      <w:pPr>
        <w:ind w:left="720" w:hanging="360"/>
      </w:pPr>
      <w:rPr>
        <w:rFonts w:hint="default"/>
      </w:rPr>
    </w:lvl>
    <w:lvl w:ilvl="1" w:tplc="AB52E97C" w:tentative="1">
      <w:start w:val="1"/>
      <w:numFmt w:val="lowerLetter"/>
      <w:lvlText w:val="%2."/>
      <w:lvlJc w:val="left"/>
      <w:pPr>
        <w:ind w:left="1440" w:hanging="360"/>
      </w:pPr>
    </w:lvl>
    <w:lvl w:ilvl="2" w:tplc="ED708096" w:tentative="1">
      <w:start w:val="1"/>
      <w:numFmt w:val="lowerRoman"/>
      <w:lvlText w:val="%3."/>
      <w:lvlJc w:val="right"/>
      <w:pPr>
        <w:ind w:left="2160" w:hanging="180"/>
      </w:pPr>
    </w:lvl>
    <w:lvl w:ilvl="3" w:tplc="7AE8BADE" w:tentative="1">
      <w:start w:val="1"/>
      <w:numFmt w:val="decimal"/>
      <w:lvlText w:val="%4."/>
      <w:lvlJc w:val="left"/>
      <w:pPr>
        <w:ind w:left="2880" w:hanging="360"/>
      </w:pPr>
    </w:lvl>
    <w:lvl w:ilvl="4" w:tplc="5664C166" w:tentative="1">
      <w:start w:val="1"/>
      <w:numFmt w:val="lowerLetter"/>
      <w:lvlText w:val="%5."/>
      <w:lvlJc w:val="left"/>
      <w:pPr>
        <w:ind w:left="3600" w:hanging="360"/>
      </w:pPr>
    </w:lvl>
    <w:lvl w:ilvl="5" w:tplc="DA428F3A" w:tentative="1">
      <w:start w:val="1"/>
      <w:numFmt w:val="lowerRoman"/>
      <w:lvlText w:val="%6."/>
      <w:lvlJc w:val="right"/>
      <w:pPr>
        <w:ind w:left="4320" w:hanging="180"/>
      </w:pPr>
    </w:lvl>
    <w:lvl w:ilvl="6" w:tplc="33964E66" w:tentative="1">
      <w:start w:val="1"/>
      <w:numFmt w:val="decimal"/>
      <w:lvlText w:val="%7."/>
      <w:lvlJc w:val="left"/>
      <w:pPr>
        <w:ind w:left="5040" w:hanging="360"/>
      </w:pPr>
    </w:lvl>
    <w:lvl w:ilvl="7" w:tplc="01EACE58" w:tentative="1">
      <w:start w:val="1"/>
      <w:numFmt w:val="lowerLetter"/>
      <w:lvlText w:val="%8."/>
      <w:lvlJc w:val="left"/>
      <w:pPr>
        <w:ind w:left="5760" w:hanging="360"/>
      </w:pPr>
    </w:lvl>
    <w:lvl w:ilvl="8" w:tplc="BD60830E" w:tentative="1">
      <w:start w:val="1"/>
      <w:numFmt w:val="lowerRoman"/>
      <w:lvlText w:val="%9."/>
      <w:lvlJc w:val="right"/>
      <w:pPr>
        <w:ind w:left="6480" w:hanging="180"/>
      </w:pPr>
    </w:lvl>
  </w:abstractNum>
  <w:abstractNum w:abstractNumId="1" w15:restartNumberingAfterBreak="0">
    <w:nsid w:val="75120445"/>
    <w:multiLevelType w:val="hybridMultilevel"/>
    <w:tmpl w:val="E188A1B6"/>
    <w:lvl w:ilvl="0" w:tplc="8F9A9D1A">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04411E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3DA738C">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EA43AD2">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6AA1A02">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5F6DF02">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F7207A0">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FA8B8A2">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D10938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429129936">
    <w:abstractNumId w:val="1"/>
  </w:num>
  <w:num w:numId="2" w16cid:durableId="77071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D8"/>
    <w:rsid w:val="001B062D"/>
    <w:rsid w:val="008A71E8"/>
    <w:rsid w:val="00D96624"/>
    <w:rsid w:val="00DF2E81"/>
    <w:rsid w:val="00E456C9"/>
    <w:rsid w:val="00E605D8"/>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05E4E2-57CF-D248-94A0-860BE23B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D8"/>
    <w:pPr>
      <w:spacing w:after="38" w:line="248" w:lineRule="auto"/>
      <w:ind w:left="10" w:right="4" w:hanging="10"/>
      <w:jc w:val="both"/>
    </w:pPr>
    <w:rPr>
      <w:rFonts w:ascii="Calibri" w:eastAsia="Calibri" w:hAnsi="Calibri" w:cs="Calibri"/>
      <w:color w:val="000000"/>
      <w:sz w:val="22"/>
      <w:lang w:val="es-CO" w:eastAsia="es-CO" w:bidi="es-CO"/>
    </w:rPr>
  </w:style>
  <w:style w:type="paragraph" w:styleId="Heading1">
    <w:name w:val="heading 1"/>
    <w:next w:val="Normal"/>
    <w:link w:val="Heading1Char"/>
    <w:uiPriority w:val="9"/>
    <w:qFormat/>
    <w:rsid w:val="00E605D8"/>
    <w:pPr>
      <w:keepNext/>
      <w:keepLines/>
      <w:numPr>
        <w:numId w:val="1"/>
      </w:numPr>
      <w:spacing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5D8"/>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 Pro Plus</dc:creator>
  <cp:lastModifiedBy>365 Pro Plus</cp:lastModifiedBy>
  <cp:revision>2</cp:revision>
  <dcterms:created xsi:type="dcterms:W3CDTF">2022-12-01T17:22:00Z</dcterms:created>
  <dcterms:modified xsi:type="dcterms:W3CDTF">2022-12-01T17:22:00Z</dcterms:modified>
</cp:coreProperties>
</file>